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4A2C" w14:textId="77777777" w:rsidR="0035761F" w:rsidRP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3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31356B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0C916D4D" w14:textId="77777777" w:rsidR="0031356B" w:rsidRPr="0031356B" w:rsidRDefault="0031356B" w:rsidP="0031356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4"/>
          <w:sz w:val="24"/>
          <w:szCs w:val="32"/>
        </w:rPr>
      </w:pPr>
      <w:r w:rsidRPr="0031356B">
        <w:rPr>
          <w:rFonts w:ascii="TH SarabunPSK Bold" w:hAnsi="TH SarabunPSK Bold" w:cs="TH SarabunPSK" w:hint="cs"/>
          <w:b/>
          <w:bCs/>
          <w:spacing w:val="-4"/>
          <w:sz w:val="24"/>
          <w:szCs w:val="32"/>
          <w:cs/>
        </w:rPr>
        <w:t>แบบ</w:t>
      </w:r>
      <w:r w:rsidRPr="0031356B">
        <w:rPr>
          <w:rFonts w:ascii="TH SarabunPSK Bold" w:hAnsi="TH SarabunPSK Bold" w:cs="TH SarabunPSK"/>
          <w:b/>
          <w:bCs/>
          <w:spacing w:val="-4"/>
          <w:sz w:val="24"/>
          <w:szCs w:val="32"/>
          <w:cs/>
        </w:rPr>
        <w:t>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เกี่ยวกับผลิตภัณฑ์หรือบริการ</w:t>
      </w:r>
    </w:p>
    <w:p w14:paraId="421AEB6E" w14:textId="77777777" w:rsidR="0031356B" w:rsidRPr="00AB0BDF" w:rsidRDefault="0031356B" w:rsidP="003135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B0BDF">
        <w:rPr>
          <w:rFonts w:ascii="TH SarabunPSK" w:hAnsi="TH SarabunPSK" w:cs="TH SarabunPSK"/>
          <w:b/>
          <w:bCs/>
          <w:sz w:val="24"/>
          <w:szCs w:val="32"/>
          <w:cs/>
        </w:rPr>
        <w:t>ค้ารถยนต์ / ค้าของเก่าประเภทรถยนต์</w:t>
      </w:r>
    </w:p>
    <w:p w14:paraId="1DC6A73E" w14:textId="1EC95C9B" w:rsid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F1A9F">
        <w:rPr>
          <w:rFonts w:ascii="TH SarabunPSK" w:hAnsi="TH SarabunPSK" w:cs="TH SarabunPSK"/>
          <w:sz w:val="24"/>
          <w:szCs w:val="32"/>
          <w:highlight w:val="yellow"/>
          <w:cs/>
        </w:rPr>
        <w:t>ของ ……………………………………………………..</w:t>
      </w:r>
    </w:p>
    <w:p w14:paraId="690AA58D" w14:textId="77777777" w:rsid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87DFC9F" w14:textId="77777777" w:rsidR="0031356B" w:rsidRPr="004367F6" w:rsidRDefault="00AB0BDF" w:rsidP="00AB0BDF">
      <w:pPr>
        <w:tabs>
          <w:tab w:val="left" w:pos="3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B0BDF">
        <w:rPr>
          <w:rFonts w:ascii="TH SarabunPSK" w:hAnsi="TH SarabunPSK" w:cs="TH SarabunPSK"/>
          <w:b/>
          <w:bCs/>
          <w:sz w:val="32"/>
          <w:szCs w:val="32"/>
          <w:cs/>
        </w:rPr>
        <w:t>เกณฑ์ค่าคะแนนความเสี่ยงสำหรับผลิตภัณฑ์หรือบริการ</w:t>
      </w:r>
      <w:r w:rsidR="0031356B" w:rsidRPr="004367F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45136E7" w14:textId="77777777" w:rsidR="0031356B" w:rsidRPr="00AB0BDF" w:rsidRDefault="0031356B" w:rsidP="00AB0BDF">
      <w:pPr>
        <w:pStyle w:val="NoSpacing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BDF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="00AB0BDF">
        <w:rPr>
          <w:rFonts w:ascii="TH SarabunPSK" w:eastAsia="Arial Unicode MS" w:hAnsi="TH SarabunPSK" w:cs="TH SarabunPSK"/>
          <w:b/>
          <w:bCs/>
          <w:sz w:val="32"/>
          <w:szCs w:val="32"/>
        </w:rPr>
        <w:t>.1</w:t>
      </w:r>
      <w:r w:rsidRPr="00AB0BD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ปัจจัยผลิตภัณฑ์หรือบริการที่สามารถให้ รับ หรือเปลี่ยนเป็นเงินสดได้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690"/>
        <w:gridCol w:w="8370"/>
      </w:tblGrid>
      <w:tr w:rsidR="0031356B" w:rsidRPr="00C348D5" w14:paraId="22FFD5ED" w14:textId="77777777" w:rsidTr="00AB0BDF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1F45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369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94E0" w14:textId="77777777" w:rsidR="0031356B" w:rsidRPr="00C348D5" w:rsidRDefault="0031356B" w:rsidP="000C6BC4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837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240D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31356B" w:rsidRPr="00C348D5" w14:paraId="535D1DDD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E9859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36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E77176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ไม่ใช้เงินสด</w:t>
            </w:r>
          </w:p>
        </w:tc>
        <w:tc>
          <w:tcPr>
            <w:tcW w:w="83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8A19E" w14:textId="77777777" w:rsidR="0031356B" w:rsidRPr="005224A1" w:rsidRDefault="0031356B" w:rsidP="000C6BC4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pacing w:val="-8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ไม่สามารถใช้เงินสดในการทำธุรกรรมได้ </w:t>
            </w:r>
          </w:p>
        </w:tc>
      </w:tr>
      <w:tr w:rsidR="0031356B" w:rsidRPr="00C348D5" w14:paraId="584557E6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4F7DAE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36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95403F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ใช้เงินสดได้ แต่มีการกำหนดวงเงินไม่สูง</w:t>
            </w:r>
          </w:p>
        </w:tc>
        <w:tc>
          <w:tcPr>
            <w:tcW w:w="83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E8807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50,000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บาท ต่อธุรกรรม*</w:t>
            </w:r>
          </w:p>
        </w:tc>
      </w:tr>
      <w:tr w:rsidR="0031356B" w:rsidRPr="00C348D5" w14:paraId="0A7D9292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49E6D9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36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9F9EE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83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61D45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500,000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บาท ต่อธุรกรรม**</w:t>
            </w:r>
          </w:p>
        </w:tc>
      </w:tr>
      <w:tr w:rsidR="0031356B" w:rsidRPr="00C348D5" w14:paraId="1FEBC075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CAEDA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36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CA36E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83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96A2AE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 โดยไม่มีการจำกัดวงเงิน หรือมีวงเงินเกินกว่า 500</w:t>
            </w:r>
            <w:r w:rsidRPr="00AA682F">
              <w:rPr>
                <w:rFonts w:ascii="TH SarabunPSK" w:hAnsi="TH SarabunPSK" w:cs="TH SarabunPSK"/>
                <w:sz w:val="28"/>
              </w:rPr>
              <w:t>,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000 บาท ต่อธุรกรรม**</w:t>
            </w:r>
          </w:p>
        </w:tc>
      </w:tr>
    </w:tbl>
    <w:p w14:paraId="32431AC7" w14:textId="77777777" w:rsidR="0031356B" w:rsidRDefault="0031356B" w:rsidP="0031356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536708B4" w14:textId="77777777" w:rsidR="0031356B" w:rsidRDefault="0031356B" w:rsidP="00AB0BDF">
      <w:pPr>
        <w:spacing w:after="0" w:line="240" w:lineRule="auto"/>
        <w:ind w:firstLine="810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</w:t>
      </w:r>
      <w:r w:rsidR="00AB0BDF">
        <w:rPr>
          <w:rFonts w:ascii="TH SarabunPSK" w:hAnsi="TH SarabunPSK" w:cs="TH SarabunPSK" w:hint="cs"/>
          <w:spacing w:val="4"/>
          <w:sz w:val="24"/>
          <w:szCs w:val="24"/>
          <w:cs/>
        </w:rPr>
        <w:t xml:space="preserve">        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32C5B503" w14:textId="77777777" w:rsidR="0031356B" w:rsidRPr="004367F6" w:rsidRDefault="0031356B" w:rsidP="0031356B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5B9BD5"/>
          <w:sz w:val="20"/>
          <w:szCs w:val="20"/>
        </w:rPr>
      </w:pPr>
    </w:p>
    <w:p w14:paraId="65BE02D6" w14:textId="77777777" w:rsidR="0031356B" w:rsidRPr="00AB0BDF" w:rsidRDefault="00AB0BDF" w:rsidP="00AB0BDF">
      <w:pPr>
        <w:pStyle w:val="NoSpacing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9450"/>
      </w:tblGrid>
      <w:tr w:rsidR="0031356B" w:rsidRPr="00C348D5" w14:paraId="57DBED64" w14:textId="77777777" w:rsidTr="00AB0BDF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C846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FAEC" w14:textId="77777777" w:rsidR="0031356B" w:rsidRPr="00C348D5" w:rsidRDefault="0031356B" w:rsidP="000C6BC4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945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133E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31356B" w:rsidRPr="00C348D5" w14:paraId="5A5B7D06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EF430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5AADA1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C3CB50" w14:textId="77777777" w:rsidR="0031356B" w:rsidRPr="005224A1" w:rsidRDefault="0031356B" w:rsidP="000C6BC4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ไม่สามารถโอนหรือเปลี่ยนมือให้แก่บุคคลอื่นได้ </w:t>
            </w:r>
          </w:p>
        </w:tc>
      </w:tr>
      <w:tr w:rsidR="0031356B" w:rsidRPr="00C348D5" w14:paraId="7D1B2508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D83B88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70768C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41809DCC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trike/>
                <w:spacing w:val="-6"/>
                <w:sz w:val="28"/>
              </w:rPr>
            </w:pPr>
            <w:r w:rsidRPr="00AA682F">
              <w:rPr>
                <w:rFonts w:ascii="TH SarabunPSK" w:hAnsi="TH SarabunPSK" w:cs="TH SarabunPSK"/>
                <w:spacing w:val="-6"/>
                <w:sz w:val="28"/>
                <w:cs/>
              </w:rPr>
              <w:t>แต่มีเงื่อนไขและมูลค่าไม่สูง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269C8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แต่มีเงื่อนไขและมูลค่าไม่สูง (น้อยกว่า </w:t>
            </w:r>
            <w:r w:rsidRPr="00AA682F">
              <w:rPr>
                <w:rFonts w:ascii="TH SarabunPSK" w:hAnsi="TH SarabunPSK" w:cs="TH SarabunPSK"/>
                <w:sz w:val="28"/>
              </w:rPr>
              <w:t>2,000,000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AA682F">
              <w:rPr>
                <w:rFonts w:ascii="TH SarabunPSK" w:hAnsi="TH SarabunPSK" w:cs="TH SarabunPSK"/>
                <w:sz w:val="28"/>
              </w:rPr>
              <w:t>*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F111337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เช่น รถยนต์ทั่วไปที่ต้องจดทะเบียนเพื่อโอนกรรมสิทธิ์ และไม่อนุญาตให้มีการโอนลอย เป็นต้น</w:t>
            </w:r>
          </w:p>
        </w:tc>
      </w:tr>
      <w:tr w:rsidR="0031356B" w:rsidRPr="00C348D5" w14:paraId="0FF873CE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88E15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F7DF0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3E2F56E0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แต่มีเงื่อนไข</w:t>
            </w:r>
            <w:r w:rsidRPr="00AA682F">
              <w:rPr>
                <w:rFonts w:ascii="TH SarabunPSK" w:hAnsi="TH SarabunPSK" w:cs="TH SarabunPSK"/>
                <w:spacing w:val="-6"/>
                <w:sz w:val="28"/>
                <w:cs/>
              </w:rPr>
              <w:t>และมูลค่า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ค่อนข้างสูง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49E6D" w14:textId="77777777" w:rsidR="00AB0BD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แต่มีเงื่อนไขและมูลค่าค่อนข้างสูง (ตั้งแต่ </w:t>
            </w:r>
            <w:r w:rsidRPr="00AA682F">
              <w:rPr>
                <w:rFonts w:ascii="TH SarabunPSK" w:hAnsi="TH SarabunPSK" w:cs="TH SarabunPSK"/>
                <w:sz w:val="28"/>
              </w:rPr>
              <w:t>2,000,000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AA682F">
              <w:rPr>
                <w:rFonts w:ascii="TH SarabunPSK" w:hAnsi="TH SarabunPSK" w:cs="TH SarabunPSK"/>
                <w:sz w:val="28"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ขึ้นไป) </w:t>
            </w:r>
          </w:p>
          <w:p w14:paraId="4CDE8746" w14:textId="77777777" w:rsidR="0031356B" w:rsidRPr="00AB0BDF" w:rsidRDefault="0031356B" w:rsidP="00AB0BDF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</w:rPr>
            </w:pPr>
            <w:r w:rsidRPr="00AB0BD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เช่น รถยนต์นำเข้า หรือ </w:t>
            </w:r>
            <w:r w:rsidRPr="00AB0BDF">
              <w:rPr>
                <w:rFonts w:ascii="TH SarabunPSK" w:hAnsi="TH SarabunPSK" w:cs="TH SarabunPSK"/>
                <w:spacing w:val="-2"/>
                <w:sz w:val="28"/>
              </w:rPr>
              <w:t xml:space="preserve">Luxury Car </w:t>
            </w:r>
            <w:r w:rsidRPr="00AB0BDF">
              <w:rPr>
                <w:rFonts w:ascii="TH SarabunPSK" w:hAnsi="TH SarabunPSK" w:cs="TH SarabunPSK"/>
                <w:spacing w:val="-2"/>
                <w:sz w:val="28"/>
                <w:cs/>
              </w:rPr>
              <w:t>หรือ</w:t>
            </w:r>
            <w:r w:rsidRPr="00AB0BDF">
              <w:rPr>
                <w:rFonts w:ascii="TH SarabunPSK" w:hAnsi="TH SarabunPSK" w:cs="TH SarabunPSK"/>
                <w:spacing w:val="-2"/>
                <w:sz w:val="28"/>
              </w:rPr>
              <w:t xml:space="preserve"> Super Car</w:t>
            </w:r>
            <w:r w:rsidRPr="00AB0BD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ที่ต้องมีการจดทะเบียนเพื่อโอนกรรมสิทธิ์ และไม่อนุญาต</w:t>
            </w:r>
            <w:r w:rsidR="00AB0BDF" w:rsidRPr="00AB0BDF">
              <w:rPr>
                <w:rFonts w:ascii="TH SarabunPSK" w:hAnsi="TH SarabunPSK" w:cs="TH SarabunPSK"/>
                <w:spacing w:val="-2"/>
                <w:sz w:val="28"/>
                <w:cs/>
              </w:rPr>
              <w:t>ให้มีการโอนลอย</w:t>
            </w:r>
          </w:p>
        </w:tc>
      </w:tr>
      <w:tr w:rsidR="0031356B" w:rsidRPr="00C348D5" w14:paraId="0BD8C312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F647A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E7077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br/>
              <w:t xml:space="preserve">โดยไม่มีข้อจำกัด 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6D5E64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="00AB0B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โดยไม่กำหนดเงื่อนไข และไม่จำกัดมูลค่า </w:t>
            </w:r>
          </w:p>
          <w:p w14:paraId="0BCB2861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เช่น อนุญาตให้มีการโอนลอย </w:t>
            </w:r>
          </w:p>
        </w:tc>
      </w:tr>
    </w:tbl>
    <w:p w14:paraId="15C03500" w14:textId="77777777" w:rsidR="0031356B" w:rsidRDefault="0031356B" w:rsidP="0031356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43E4B">
        <w:rPr>
          <w:sz w:val="24"/>
          <w:szCs w:val="24"/>
          <w:u w:val="single"/>
          <w:cs/>
        </w:rPr>
        <w:t>หมายเหตุ</w:t>
      </w:r>
      <w:r w:rsidRPr="00543E4B">
        <w:rPr>
          <w:sz w:val="24"/>
          <w:szCs w:val="24"/>
          <w:cs/>
        </w:rPr>
        <w:t xml:space="preserve"> : </w:t>
      </w:r>
      <w:r w:rsidRPr="00543E4B">
        <w:rPr>
          <w:sz w:val="24"/>
          <w:szCs w:val="24"/>
        </w:rPr>
        <w:t>*</w:t>
      </w:r>
      <w:r w:rsidRPr="00543E4B">
        <w:rPr>
          <w:sz w:val="24"/>
          <w:szCs w:val="24"/>
          <w:cs/>
        </w:rPr>
        <w:t>อ้างอิงจากเกณฑ์วงเงินในการรายงานการทำธุรกรรมของธุรกิจ</w:t>
      </w:r>
      <w:r w:rsidRPr="00543E4B">
        <w:rPr>
          <w:rFonts w:hint="cs"/>
          <w:sz w:val="24"/>
          <w:szCs w:val="24"/>
          <w:cs/>
        </w:rPr>
        <w:t>ค้าหรือให้เช่าซื้อรถยนต์</w:t>
      </w:r>
    </w:p>
    <w:p w14:paraId="09BE01F7" w14:textId="77777777" w:rsidR="0031356B" w:rsidRPr="004367F6" w:rsidRDefault="0031356B" w:rsidP="0031356B">
      <w:pPr>
        <w:pStyle w:val="NoSpacing"/>
        <w:ind w:firstLine="2340"/>
        <w:jc w:val="thaiDistribute"/>
        <w:rPr>
          <w:rFonts w:ascii="TH SarabunPSK" w:hAnsi="TH SarabunPSK" w:cs="TH SarabunPSK"/>
          <w:sz w:val="20"/>
          <w:szCs w:val="20"/>
        </w:rPr>
      </w:pPr>
    </w:p>
    <w:p w14:paraId="595E26B6" w14:textId="77777777" w:rsidR="0031356B" w:rsidRPr="00AB0BDF" w:rsidRDefault="00AB0BDF" w:rsidP="00AB0BDF">
      <w:pPr>
        <w:pStyle w:val="NoSpacing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9450"/>
      </w:tblGrid>
      <w:tr w:rsidR="0031356B" w:rsidRPr="00C348D5" w14:paraId="6E93ED2F" w14:textId="77777777" w:rsidTr="00AB0BDF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06FC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B67A" w14:textId="77777777" w:rsidR="0031356B" w:rsidRPr="00C348D5" w:rsidRDefault="0031356B" w:rsidP="000C6BC4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945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6AB7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31356B" w:rsidRPr="00C348D5" w14:paraId="597E94F8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F03D5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2E19D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ไม่ได้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618B4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  <w:spacing w:val="-14"/>
              </w:rPr>
            </w:pPr>
            <w:r w:rsidRPr="00AA682F">
              <w:rPr>
                <w:rFonts w:ascii="TH SarabunPSK" w:hAnsi="TH SarabunPSK" w:cs="TH SarabunPSK"/>
                <w:spacing w:val="-14"/>
                <w:cs/>
              </w:rPr>
              <w:t>ไม่สามารถใช้ในต่างประเทศ หรือไม่สามารถนำไปใช้ได้ในต่างประเทศ</w:t>
            </w:r>
          </w:p>
        </w:tc>
      </w:tr>
      <w:tr w:rsidR="0031356B" w:rsidRPr="00C348D5" w14:paraId="43FA2E5D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5D74A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132FD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  <w:r w:rsidR="00AB0B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t>แต่มีเงื่อนไขยุ่งยาก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DC61D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4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AA682F">
              <w:rPr>
                <w:rFonts w:ascii="TH SarabunPSK" w:hAnsi="TH SarabunPSK" w:cs="TH SarabunPSK"/>
                <w:cs/>
              </w:rPr>
              <w:t xml:space="preserve"> แต่มีเงื่อนไขยุ่งยาก </w:t>
            </w:r>
          </w:p>
          <w:p w14:paraId="053614D7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เช่น การส่งออกรถยนต์ไปขายต่างประเทศ ต้องปฏิบัติตามระเบียบและหลักเกณฑ์การส่งออก ได้แก่</w:t>
            </w:r>
          </w:p>
          <w:p w14:paraId="06CA2878" w14:textId="77777777" w:rsidR="0031356B" w:rsidRPr="00AA682F" w:rsidRDefault="0031356B" w:rsidP="000C6BC4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ต้องยื่นขอจดแจ้งขึ้นบัญชีเป็นผู้ขอหนังสือรับรองต่อกรมการค้าต่างประเทศ</w:t>
            </w:r>
          </w:p>
          <w:p w14:paraId="147F2517" w14:textId="77777777" w:rsidR="0031356B" w:rsidRPr="00AA682F" w:rsidRDefault="0031356B" w:rsidP="000C6BC4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</w:r>
            <w:r w:rsidRPr="00AB0BDF">
              <w:rPr>
                <w:rFonts w:ascii="TH SarabunPSK" w:hAnsi="TH SarabunPSK" w:cs="TH SarabunPSK"/>
                <w:cs/>
              </w:rPr>
              <w:t>รถยนต์ที่จะออกหนังสือรับรองการส่งออกและหนังสือรับรองแหล่ง กำเนิดสินค้าต้องเป็นรถยนต์ที่ผลิตหรือประกอบขึ้นในประเทศไทย</w:t>
            </w:r>
          </w:p>
          <w:p w14:paraId="6CBE9E3F" w14:textId="77777777" w:rsidR="0031356B" w:rsidRPr="00AA682F" w:rsidRDefault="0031356B" w:rsidP="000C6BC4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ต้องมีหนังสือรับรองการส่งออก ที่ออกโดยกรมการค้าต่างประเทศไปแสดงต่อกรมศุลกากร เพื่อประกอบ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t>การส่งออก</w:t>
            </w:r>
          </w:p>
          <w:p w14:paraId="67C9CE3F" w14:textId="77777777" w:rsidR="0031356B" w:rsidRPr="00AA682F" w:rsidRDefault="0031356B" w:rsidP="000C6BC4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  <w:cs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ต้องมีหนังสือรับรองแหล่งกำเนิดสินค้าที่ออกโดยกรมการค้าต</w:t>
            </w:r>
            <w:r>
              <w:rPr>
                <w:rFonts w:ascii="TH SarabunPSK" w:hAnsi="TH SarabunPSK" w:cs="TH SarabunPSK"/>
                <w:cs/>
              </w:rPr>
              <w:t>่างประเทศไปแสดงต่อประเทศปลายทา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</w:p>
        </w:tc>
      </w:tr>
      <w:tr w:rsidR="0031356B" w:rsidRPr="00C348D5" w14:paraId="5D4FD993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179B4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6D903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  <w:r w:rsidR="00AB0B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t>แต่มีเงื่อนไขไม่ยุ่งยาก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03437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6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AA682F">
              <w:rPr>
                <w:rFonts w:ascii="TH SarabunPSK" w:hAnsi="TH SarabunPSK" w:cs="TH SarabunPSK"/>
                <w:cs/>
              </w:rPr>
              <w:t xml:space="preserve"> แต่มีการกำหนดเงื่อนไขไม่ยุ่งยาก</w:t>
            </w:r>
          </w:p>
        </w:tc>
      </w:tr>
      <w:tr w:rsidR="0031356B" w:rsidRPr="00C348D5" w14:paraId="3B11EB83" w14:textId="77777777" w:rsidTr="00AB0BDF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AD410" w14:textId="77777777" w:rsidR="0031356B" w:rsidRPr="00C348D5" w:rsidRDefault="0031356B" w:rsidP="000C6B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646B9" w14:textId="77777777" w:rsidR="0031356B" w:rsidRPr="00AA682F" w:rsidRDefault="0031356B" w:rsidP="00AB0BD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  <w:r w:rsidR="00AB0B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t>โดยไม่มีข้อจำกัด</w:t>
            </w:r>
          </w:p>
        </w:tc>
        <w:tc>
          <w:tcPr>
            <w:tcW w:w="9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40A0A" w14:textId="77777777" w:rsidR="0031356B" w:rsidRPr="00AA682F" w:rsidRDefault="0031356B" w:rsidP="000C6BC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8"/>
                <w:cs/>
              </w:rPr>
              <w:t>สามารถใช้ในต่างประเทศ หรือสามารถนำไปใช้ได้ในต่างประเทศได้</w:t>
            </w:r>
            <w:r w:rsidRPr="00AA682F">
              <w:rPr>
                <w:rFonts w:ascii="TH SarabunPSK" w:hAnsi="TH SarabunPSK" w:cs="TH SarabunPSK"/>
                <w:cs/>
              </w:rPr>
              <w:t>โดยไม่มีข้อจำกัด</w:t>
            </w:r>
          </w:p>
        </w:tc>
      </w:tr>
    </w:tbl>
    <w:p w14:paraId="3984DE2D" w14:textId="77777777" w:rsidR="0031356B" w:rsidRPr="004367F6" w:rsidRDefault="0031356B" w:rsidP="0031356B">
      <w:pPr>
        <w:pStyle w:val="NoSpacing"/>
        <w:ind w:left="360" w:firstLine="1260"/>
        <w:jc w:val="thaiDistribute"/>
        <w:rPr>
          <w:rFonts w:ascii="TH SarabunPSK" w:hAnsi="TH SarabunPSK" w:cs="TH SarabunPSK"/>
          <w:sz w:val="20"/>
          <w:szCs w:val="20"/>
        </w:rPr>
      </w:pPr>
    </w:p>
    <w:p w14:paraId="394C392B" w14:textId="77777777" w:rsidR="0031356B" w:rsidRPr="00303CD0" w:rsidRDefault="0031356B" w:rsidP="0031356B">
      <w:pPr>
        <w:pStyle w:val="NoSpacing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CD0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ค่าคะแนนการประเมินความเสี่ยงโดยรวม</w:t>
      </w:r>
    </w:p>
    <w:p w14:paraId="3C39F1C6" w14:textId="77777777" w:rsidR="0031356B" w:rsidRPr="00303CD0" w:rsidRDefault="0031356B" w:rsidP="0031356B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ความเสี่ยงสูง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10 – 12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5FD19E4" w14:textId="77777777" w:rsidR="00AB0BDF" w:rsidRDefault="0031356B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ความเสี่ยงปานกลาง</w:t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Pr="00303CD0">
        <w:rPr>
          <w:rFonts w:ascii="TH SarabunPSK" w:hAnsi="TH SarabunPSK" w:cs="TH SarabunPSK"/>
          <w:sz w:val="32"/>
          <w:szCs w:val="32"/>
        </w:rPr>
        <w:t xml:space="preserve"> – 9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9D6F4F4" w14:textId="77777777" w:rsidR="0031356B" w:rsidRDefault="0031356B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ความเสี่ยงต่ำ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3 –</w:t>
      </w:r>
      <w:r w:rsidRPr="00303C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680062A" w14:textId="77777777" w:rsidR="00AB0BDF" w:rsidRDefault="00AB0BDF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</w:p>
    <w:p w14:paraId="687944B5" w14:textId="77777777" w:rsidR="00AB0BDF" w:rsidRPr="004367F6" w:rsidRDefault="00AB0BDF" w:rsidP="00AB0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เกณฑ์การพิจารณาลักษณะของผลิตภัณฑ์หรือบริการที่อาจมีความเสี่ยงสูง </w:t>
      </w:r>
    </w:p>
    <w:p w14:paraId="0F4DD096" w14:textId="3F9C006A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pacing w:val="6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แนวทางในการพิจารณาปัจจัยความเสี่ยงด้านการฟอกเงินหรือการสนับสนุนทางการเงินแก่การก่อการร้าย</w:t>
      </w:r>
      <w:r w:rsidRPr="00B70A07">
        <w:rPr>
          <w:rFonts w:ascii="TH SarabunPSK" w:hAnsi="TH SarabunPSK" w:cs="TH SarabunPSK"/>
          <w:spacing w:val="4"/>
          <w:sz w:val="32"/>
          <w:szCs w:val="32"/>
          <w:cs/>
        </w:rPr>
        <w:t xml:space="preserve"> หรือการแพร่ขยายอาวุธที่มีอานุภาพทําลายล้างสูง ข้อ 3 (3) สำหรับผู้ประกอบอาชีพ</w:t>
      </w:r>
      <w:r w:rsidR="00E0042B">
        <w:rPr>
          <w:rFonts w:ascii="TH SarabunPSK" w:hAnsi="TH SarabunPSK" w:cs="TH SarabunPSK"/>
          <w:spacing w:val="4"/>
          <w:sz w:val="32"/>
          <w:szCs w:val="32"/>
          <w:cs/>
        </w:rPr>
        <w:t>ค้ารถยนต์</w:t>
      </w:r>
      <w:bookmarkStart w:id="0" w:name="_GoBack"/>
      <w:bookmarkEnd w:id="0"/>
      <w:r w:rsidR="00E0042B" w:rsidRPr="00E0042B">
        <w:rPr>
          <w:rFonts w:ascii="TH SarabunPSK" w:hAnsi="TH SarabunPSK" w:cs="TH SarabunPSK" w:hint="cs"/>
          <w:spacing w:val="4"/>
          <w:sz w:val="32"/>
          <w:szCs w:val="32"/>
          <w:cs/>
        </w:rPr>
        <w:t>หรือ</w:t>
      </w:r>
      <w:r w:rsidRPr="00E0042B">
        <w:rPr>
          <w:rFonts w:ascii="TH SarabunPSK" w:hAnsi="TH SarabunPSK" w:cs="TH SarabunPSK"/>
          <w:spacing w:val="4"/>
          <w:sz w:val="32"/>
          <w:szCs w:val="32"/>
          <w:cs/>
        </w:rPr>
        <w:t>ค้าของเก่าประเภทรถยนต์</w:t>
      </w:r>
      <w:r w:rsidR="00E0042B" w:rsidRPr="00E0042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70A07">
        <w:rPr>
          <w:rFonts w:ascii="TH SarabunPSK" w:hAnsi="TH SarabunPSK" w:cs="TH SarabunPSK"/>
          <w:spacing w:val="4"/>
          <w:sz w:val="32"/>
          <w:szCs w:val="32"/>
          <w:cs/>
        </w:rPr>
        <w:t>ให้พิจารณาปัจจัยในเรื่อง ผลิตภัณฑ์</w:t>
      </w:r>
      <w:r w:rsidRPr="00B70A07">
        <w:rPr>
          <w:rFonts w:ascii="TH SarabunPSK" w:hAnsi="TH SarabunPSK" w:cs="TH SarabunPSK"/>
          <w:sz w:val="32"/>
          <w:szCs w:val="32"/>
          <w:cs/>
        </w:rPr>
        <w:t>หรือบริการที่สามารถให้ รับ หรือเปลี่ยนเป็นเงินสดได้ในมูลค่าสูง โดยพิจารณามูลค่าสูง จากการทำธุรกรรมด้วยเงินสด ที่มีมูลค่าตั้งแต่ 2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 บาท ขึ้นไป เท่านั้น เนื่องจากไม่มีลักษณะผลิตภัณฑ์หรือบริการอื่นตามประกาศฯ</w:t>
      </w:r>
      <w:r w:rsidRPr="00B70A07">
        <w:rPr>
          <w:rFonts w:ascii="TH SarabunPSK" w:hAnsi="TH SarabunPSK" w:cs="TH SarabunPSK"/>
          <w:sz w:val="32"/>
          <w:szCs w:val="32"/>
        </w:rPr>
        <w:t xml:space="preserve"> </w:t>
      </w:r>
    </w:p>
    <w:p w14:paraId="3747D57F" w14:textId="77777777" w:rsidR="00B70A07" w:rsidRDefault="00B70A07" w:rsidP="00AB0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63C28" w14:textId="77777777" w:rsidR="00B70A07" w:rsidRDefault="00B70A07" w:rsidP="00AB0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CEAE44" w14:textId="77777777" w:rsidR="00B70A07" w:rsidRDefault="00B70A07" w:rsidP="00AB0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00111D" w14:textId="77777777" w:rsidR="00AB0BDF" w:rsidRPr="00B300A7" w:rsidRDefault="00AB0BDF" w:rsidP="00AB0B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5AF4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30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เกณฑ์การพิจารณาลักษณะของผลิตภัณฑ์หรือบริการที่มีความเสี่ยงต่ำ</w:t>
      </w:r>
    </w:p>
    <w:p w14:paraId="3B9D5808" w14:textId="233E7552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pacing w:val="6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แนวทางในการพิจารณาปัจจัยความเสี่ยงด้านการฟอกเงินหรือการสนับสนุนทางการเงินแก่การก่อการร้าย</w:t>
      </w:r>
      <w:r w:rsidRPr="00B70A07">
        <w:rPr>
          <w:rFonts w:ascii="TH SarabunPSK" w:hAnsi="TH SarabunPSK" w:cs="TH SarabunPSK"/>
          <w:sz w:val="32"/>
          <w:szCs w:val="32"/>
          <w:cs/>
        </w:rPr>
        <w:t xml:space="preserve"> หรือการแพร่ขยายอาวุธที่มีอานุภาพทําลายล้างสูง ข้อ 5 สำหรับผู้ประกอบอาชีพ</w:t>
      </w:r>
      <w:r w:rsidR="00E0042B">
        <w:rPr>
          <w:rFonts w:ascii="TH SarabunPSK" w:hAnsi="TH SarabunPSK" w:cs="TH SarabunPSK"/>
          <w:sz w:val="32"/>
          <w:szCs w:val="32"/>
          <w:cs/>
        </w:rPr>
        <w:t>ค้ารถยนต์</w:t>
      </w:r>
      <w:r w:rsidR="00E0042B" w:rsidRPr="00E0042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0042B">
        <w:rPr>
          <w:rFonts w:ascii="TH SarabunPSK" w:hAnsi="TH SarabunPSK" w:cs="TH SarabunPSK"/>
          <w:sz w:val="32"/>
          <w:szCs w:val="32"/>
          <w:cs/>
        </w:rPr>
        <w:t xml:space="preserve">ค้าของเก่าประเภทรถยนต์ </w:t>
      </w:r>
      <w:r w:rsidRPr="00B70A07">
        <w:rPr>
          <w:rFonts w:ascii="TH SarabunPSK" w:hAnsi="TH SarabunPSK" w:cs="TH SarabunPSK"/>
          <w:sz w:val="32"/>
          <w:szCs w:val="32"/>
          <w:cs/>
        </w:rPr>
        <w:t>อาจพิจารณากำหนดให้ผลิตภัณฑ์หรือบริการทางการเงินที่มีลักษณะดังต่อไปนี้ เป็นผลิตภัณฑ์หรือบริการที่มีความเสี่ยงต่ำ</w:t>
      </w:r>
    </w:p>
    <w:p w14:paraId="1E470439" w14:textId="77777777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>(ก)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หรือแลกเปลี่ยนเป็นเงินสดหรือถอนหรือคืนเป็นเงินสดได้ในมูลค่าต่ำ</w:t>
      </w:r>
    </w:p>
    <w:p w14:paraId="2579C5F7" w14:textId="77777777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B70A07">
        <w:rPr>
          <w:rFonts w:ascii="TH SarabunPSK" w:hAnsi="TH SarabunPSK" w:cs="TH SarabunPSK"/>
          <w:spacing w:val="-6"/>
          <w:sz w:val="32"/>
          <w:szCs w:val="32"/>
          <w:cs/>
        </w:rPr>
        <w:t>ผลิตภัณฑ์หรือบริการที่ไม่ใช่บริการข้ามประเทศและไม่เกิดมูลค่าในต่างประเทศ หรือเป็นผลิตภัณฑ์หรือบริการข้ามประเทศหรือเกิดมูลค่าในต่างประเทศ</w:t>
      </w:r>
      <w:r w:rsidRPr="00B70A07">
        <w:rPr>
          <w:rFonts w:ascii="TH SarabunPSK" w:hAnsi="TH SarabunPSK" w:cs="TH SarabunPSK"/>
          <w:sz w:val="32"/>
          <w:szCs w:val="32"/>
          <w:cs/>
        </w:rPr>
        <w:t>เฉพาะกรณีที่เป็นการชำระหนี้ หรือค่าสินค้าหรือบริการที่มีมูลค่าต่ำ</w:t>
      </w:r>
    </w:p>
    <w:p w14:paraId="4BAC649B" w14:textId="77777777" w:rsidR="00AB0BDF" w:rsidRPr="00B70A07" w:rsidRDefault="00AB0BDF" w:rsidP="00B70A07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>(ค) 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และไม่สามารถโอนมูลค่าให้แก่ผู้อื่นได้หรือโอนได้ในมูลค่าต่ำ</w:t>
      </w:r>
    </w:p>
    <w:p w14:paraId="2F9C59EA" w14:textId="77777777" w:rsidR="00AB0BDF" w:rsidRDefault="00AB0BDF" w:rsidP="00B70A07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>ทั้งนี้ มูลค่าในการทำธุรกรรมตาม (ก) (ข) และ (ค) เมื่อรวมกันแล้วต้องไม่เกิน 50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 บาท ต่อเดือน กล่าวคือ การพิจารณามูลค่าของการทำธุรกรรมให้นับรวมทั้งขาเข้าและขาออก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 จะต้องนับรวมทุกธุรกรรม</w:t>
      </w:r>
    </w:p>
    <w:p w14:paraId="1C32240D" w14:textId="77777777" w:rsidR="00B70A07" w:rsidRDefault="00B70A07" w:rsidP="003C5D6E">
      <w:pPr>
        <w:pStyle w:val="NoSpacing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"/>
      <w:r w:rsidRPr="00B70A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70A0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ตารางสรุปผลการประเมินความเสี่ยงด้าน </w:t>
      </w:r>
      <w:r w:rsidRPr="00B70A07">
        <w:rPr>
          <w:rFonts w:ascii="TH SarabunPSK" w:hAnsi="TH SarabunPSK" w:cs="TH SarabunPSK"/>
          <w:b/>
          <w:bCs/>
          <w:sz w:val="32"/>
          <w:szCs w:val="32"/>
        </w:rPr>
        <w:t xml:space="preserve">ML/TPF </w:t>
      </w:r>
      <w:r w:rsidRPr="00B70A07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ของผลิตภัณฑ์หรือบริการ:</w:t>
      </w:r>
      <w:r w:rsidRPr="00B70A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ค้ารถยนต์</w:t>
      </w:r>
      <w:r w:rsidR="002F1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="002F1A9F" w:rsidRPr="002F1A9F">
        <w:rPr>
          <w:rFonts w:ascii="TH SarabunPSK" w:hAnsi="TH SarabunPSK" w:cs="TH SarabunPSK"/>
          <w:b/>
          <w:bCs/>
          <w:sz w:val="32"/>
          <w:szCs w:val="32"/>
          <w:cs/>
        </w:rPr>
        <w:t>ค้าของเก่าประเภทรถยนต์</w:t>
      </w:r>
    </w:p>
    <w:p w14:paraId="4A9DC97C" w14:textId="77777777" w:rsidR="003C5D6E" w:rsidRDefault="003C5D6E" w:rsidP="003C5D6E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5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3C5D6E" w:rsidRPr="003C5D6E" w14:paraId="118BD247" w14:textId="77777777" w:rsidTr="003C5D6E">
        <w:trPr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76DD2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C79D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9FF7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769B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1B22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3C5D6E" w:rsidRPr="003C5D6E" w14:paraId="4E9D7DE3" w14:textId="77777777" w:rsidTr="003C5D6E">
        <w:trPr>
          <w:trHeight w:val="140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0EA910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8984B" w14:textId="77777777" w:rsidR="003C5D6E" w:rsidRPr="003C5D6E" w:rsidRDefault="003C5D6E" w:rsidP="00091D0E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3C5D6E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721AE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3DF08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03967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1C3B" w14:textId="77777777" w:rsidR="003C5D6E" w:rsidRPr="003C5D6E" w:rsidRDefault="003C5D6E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C7FF" w14:textId="77777777" w:rsidR="003C5D6E" w:rsidRPr="003C5D6E" w:rsidRDefault="003C5D6E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F3CD4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5D6E" w:rsidRPr="003C5D6E" w14:paraId="21CC41BC" w14:textId="77777777" w:rsidTr="00091D0E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34463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3320D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  <w:cs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3FD61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C5838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11810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color w:val="BF8F00" w:themeColor="accent4" w:themeShade="BF"/>
                <w:kern w:val="24"/>
                <w:sz w:val="28"/>
                <w:szCs w:val="28"/>
                <w:cs/>
              </w:rPr>
              <w:t>กลาง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4EEBC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color w:val="C00000"/>
                <w:kern w:val="24"/>
                <w:sz w:val="28"/>
                <w:szCs w:val="28"/>
                <w:cs/>
              </w:rPr>
              <w:t>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782BB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F1102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color w:val="5B9BD5" w:themeColor="accent1"/>
                <w:sz w:val="28"/>
                <w:szCs w:val="28"/>
              </w:rPr>
            </w:pPr>
            <w:r w:rsidRPr="003C5D6E">
              <w:rPr>
                <w:rFonts w:ascii="TH SarabunPSK" w:eastAsiaTheme="minorEastAsia" w:hAnsi="TH SarabunPSK" w:cs="TH SarabunPSK"/>
                <w:b/>
                <w:bCs/>
                <w:color w:val="C00000"/>
                <w:kern w:val="24"/>
                <w:sz w:val="28"/>
                <w:szCs w:val="28"/>
                <w:u w:val="single"/>
                <w:cs/>
              </w:rPr>
              <w:t>สูง</w:t>
            </w:r>
          </w:p>
        </w:tc>
      </w:tr>
    </w:tbl>
    <w:p w14:paraId="34029221" w14:textId="77777777" w:rsidR="003C5D6E" w:rsidRPr="003C5D6E" w:rsidRDefault="003C5D6E" w:rsidP="003C5D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C5D6E">
        <w:rPr>
          <w:rFonts w:ascii="TH SarabunPSK" w:hAnsi="TH SarabunPSK" w:cs="TH SarabunPSK"/>
          <w:b/>
          <w:bCs/>
          <w:sz w:val="28"/>
          <w:cs/>
        </w:rPr>
        <w:t>ลักษณะของผลิตภัณฑ์หรือบริการ และรายละเอียดเงื่อนไขในการให้บริการ</w:t>
      </w:r>
    </w:p>
    <w:p w14:paraId="61ACC4BE" w14:textId="77777777" w:rsidR="003C5D6E" w:rsidRPr="003C5D6E" w:rsidRDefault="003C5D6E" w:rsidP="003C5D6E">
      <w:pPr>
        <w:pStyle w:val="ListParagraph"/>
        <w:numPr>
          <w:ilvl w:val="0"/>
          <w:numId w:val="3"/>
        </w:numPr>
        <w:ind w:left="360"/>
        <w:rPr>
          <w:rFonts w:cs="TH SarabunPSK"/>
          <w:sz w:val="28"/>
          <w:szCs w:val="28"/>
        </w:rPr>
      </w:pPr>
      <w:r w:rsidRPr="003C5D6E">
        <w:rPr>
          <w:rFonts w:cs="TH SarabunPSK"/>
          <w:sz w:val="28"/>
          <w:szCs w:val="28"/>
          <w:cs/>
        </w:rPr>
        <w:t>ไม่มีการกำหนดนโยบายในการจำกัดการรับชำระเงินจอง หรือเงินดาวน์ หรือค่ารถยนต์ ด้วยเงินสด ไว้เป็นลายลักษณ์อักษร</w:t>
      </w:r>
    </w:p>
    <w:p w14:paraId="3C04952D" w14:textId="77777777" w:rsidR="003C5D6E" w:rsidRPr="003C5D6E" w:rsidRDefault="003C5D6E" w:rsidP="003C5D6E">
      <w:pPr>
        <w:pStyle w:val="ListParagraph"/>
        <w:numPr>
          <w:ilvl w:val="0"/>
          <w:numId w:val="3"/>
        </w:numPr>
        <w:ind w:left="360"/>
        <w:rPr>
          <w:rFonts w:cs="TH SarabunPSK"/>
          <w:sz w:val="28"/>
          <w:szCs w:val="28"/>
        </w:rPr>
      </w:pPr>
      <w:r>
        <w:rPr>
          <w:rFonts w:cs="TH SarabunPSK" w:hint="cs"/>
          <w:sz w:val="28"/>
          <w:szCs w:val="28"/>
          <w:cs/>
        </w:rPr>
        <w:t>มี</w:t>
      </w:r>
      <w:r w:rsidRPr="003C5D6E">
        <w:rPr>
          <w:rFonts w:cs="TH SarabunPSK"/>
          <w:sz w:val="28"/>
          <w:szCs w:val="28"/>
          <w:cs/>
        </w:rPr>
        <w:t>กรณีรับชำระด้วยเงินสดตั้งแต่ 2</w:t>
      </w:r>
      <w:r w:rsidRPr="003C5D6E">
        <w:rPr>
          <w:rFonts w:cs="TH SarabunPSK"/>
          <w:sz w:val="28"/>
          <w:szCs w:val="28"/>
        </w:rPr>
        <w:t>,</w:t>
      </w:r>
      <w:r w:rsidRPr="003C5D6E">
        <w:rPr>
          <w:rFonts w:cs="TH SarabunPSK"/>
          <w:sz w:val="28"/>
          <w:szCs w:val="28"/>
          <w:cs/>
        </w:rPr>
        <w:t>000</w:t>
      </w:r>
      <w:r w:rsidRPr="003C5D6E">
        <w:rPr>
          <w:rFonts w:cs="TH SarabunPSK"/>
          <w:sz w:val="28"/>
          <w:szCs w:val="28"/>
        </w:rPr>
        <w:t>,</w:t>
      </w:r>
      <w:r w:rsidRPr="003C5D6E">
        <w:rPr>
          <w:rFonts w:cs="TH SarabunPSK"/>
          <w:sz w:val="28"/>
          <w:szCs w:val="28"/>
          <w:cs/>
        </w:rPr>
        <w:t>000 บาทขึ้นไป ต่อธุรกรรม</w:t>
      </w:r>
    </w:p>
    <w:p w14:paraId="16DBA542" w14:textId="77777777" w:rsidR="003C5D6E" w:rsidRDefault="003C5D6E" w:rsidP="003C5D6E">
      <w:pPr>
        <w:pStyle w:val="ListParagraph"/>
        <w:numPr>
          <w:ilvl w:val="0"/>
          <w:numId w:val="3"/>
        </w:numPr>
        <w:ind w:left="360"/>
        <w:rPr>
          <w:rFonts w:cs="TH SarabunPSK"/>
          <w:sz w:val="28"/>
          <w:szCs w:val="28"/>
        </w:rPr>
      </w:pPr>
      <w:r w:rsidRPr="003C5D6E">
        <w:rPr>
          <w:rFonts w:cs="TH SarabunPSK"/>
          <w:sz w:val="28"/>
          <w:szCs w:val="28"/>
          <w:cs/>
        </w:rPr>
        <w:t xml:space="preserve">สามารถโอนหรือเปลี่ยนมือให้แก่บุคคลอื่นได้ แต่มีเงื่อนไขต้องจดทะเบียนเพื่อโอนกรรมสิทธิ์ ไม่อนุญาตให้โอนลอย และเป็นรถยนต์ที่มูลค่าค่อนข้างสูง ตั้งแต่ </w:t>
      </w:r>
      <w:r w:rsidRPr="003C5D6E">
        <w:rPr>
          <w:rFonts w:cs="TH SarabunPSK"/>
          <w:sz w:val="28"/>
          <w:szCs w:val="28"/>
        </w:rPr>
        <w:t>2,000,000</w:t>
      </w:r>
      <w:r w:rsidRPr="003C5D6E">
        <w:rPr>
          <w:rFonts w:cs="TH SarabunPSK"/>
          <w:sz w:val="28"/>
          <w:szCs w:val="28"/>
          <w:cs/>
        </w:rPr>
        <w:t xml:space="preserve"> บาทขึ้นไป </w:t>
      </w:r>
    </w:p>
    <w:p w14:paraId="035F9A84" w14:textId="77777777" w:rsidR="003C5D6E" w:rsidRPr="003C5D6E" w:rsidRDefault="003C5D6E" w:rsidP="003C5D6E">
      <w:pPr>
        <w:pStyle w:val="ListParagraph"/>
        <w:numPr>
          <w:ilvl w:val="0"/>
          <w:numId w:val="3"/>
        </w:numPr>
        <w:ind w:left="360"/>
        <w:rPr>
          <w:rFonts w:cs="TH SarabunPSK"/>
          <w:sz w:val="28"/>
          <w:szCs w:val="28"/>
        </w:rPr>
      </w:pPr>
      <w:r w:rsidRPr="003C5D6E">
        <w:rPr>
          <w:rFonts w:cs="TH SarabunPSK"/>
          <w:sz w:val="28"/>
          <w:szCs w:val="28"/>
          <w:cs/>
        </w:rPr>
        <w:t>ไม่สามารถใช้หรือนำไปใช้ในต่างประเทศได้ กรณีไม่มีการส่งออกรถยนต์ไปขายในต่างประเทศ</w:t>
      </w:r>
    </w:p>
    <w:p w14:paraId="05B75CA6" w14:textId="77777777" w:rsidR="003C5D6E" w:rsidRPr="003C5D6E" w:rsidRDefault="003C5D6E" w:rsidP="00B70A07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5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B70A07" w:rsidRPr="003C5D6E" w14:paraId="13A3F565" w14:textId="77777777" w:rsidTr="00B70A07">
        <w:trPr>
          <w:trHeight w:val="91"/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A039A" w14:textId="77777777" w:rsidR="00B70A07" w:rsidRPr="003C5D6E" w:rsidRDefault="00B70A07" w:rsidP="000C6BC4">
            <w:pPr>
              <w:spacing w:line="276" w:lineRule="auto"/>
              <w:ind w:lef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06BC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2154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74DA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80CC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B70A07" w:rsidRPr="003C5D6E" w14:paraId="406DA6C8" w14:textId="77777777" w:rsidTr="00B70A07">
        <w:trPr>
          <w:trHeight w:val="100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9D90B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83B0F" w14:textId="77777777" w:rsidR="00B70A07" w:rsidRPr="003C5D6E" w:rsidRDefault="00B70A07" w:rsidP="000C6BC4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3C5D6E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E93E6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DC83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44E1B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2458" w14:textId="77777777" w:rsidR="00B70A07" w:rsidRPr="003C5D6E" w:rsidRDefault="00B70A07" w:rsidP="000C6BC4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2933" w14:textId="77777777" w:rsidR="00B70A07" w:rsidRPr="003C5D6E" w:rsidRDefault="00B70A07" w:rsidP="000C6BC4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94C36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A07" w:rsidRPr="003C5D6E" w14:paraId="4094D77E" w14:textId="77777777" w:rsidTr="000C6BC4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42777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ACDC8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054B6C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B38EF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42CB2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color w:val="BF8F00" w:themeColor="accent4" w:themeShade="BF"/>
                <w:kern w:val="24"/>
                <w:sz w:val="28"/>
                <w:szCs w:val="28"/>
                <w:cs/>
              </w:rPr>
              <w:t>กลาง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39CE1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63304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FDAAC" w14:textId="77777777" w:rsidR="00B70A07" w:rsidRPr="003C5D6E" w:rsidRDefault="00B70A07" w:rsidP="000C6BC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color w:val="5B9BD5" w:themeColor="accent1"/>
                <w:sz w:val="28"/>
                <w:szCs w:val="28"/>
              </w:rPr>
            </w:pPr>
            <w:r w:rsidRPr="003C5D6E">
              <w:rPr>
                <w:rFonts w:ascii="TH SarabunPSK" w:eastAsiaTheme="minorEastAsia" w:hAnsi="TH SarabunPSK" w:cs="TH SarabunPSK"/>
                <w:b/>
                <w:bCs/>
                <w:color w:val="BF8F00" w:themeColor="accent4" w:themeShade="BF"/>
                <w:kern w:val="24"/>
                <w:sz w:val="28"/>
                <w:szCs w:val="28"/>
                <w:u w:val="single"/>
                <w:cs/>
              </w:rPr>
              <w:t>กลาง</w:t>
            </w:r>
          </w:p>
        </w:tc>
      </w:tr>
    </w:tbl>
    <w:p w14:paraId="291BE2E7" w14:textId="77777777" w:rsidR="00B70A07" w:rsidRPr="00B70A07" w:rsidRDefault="00B70A07" w:rsidP="00B70A0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70A07">
        <w:rPr>
          <w:rFonts w:ascii="TH SarabunPSK" w:hAnsi="TH SarabunPSK" w:cs="TH SarabunPSK"/>
          <w:b/>
          <w:bCs/>
          <w:sz w:val="28"/>
          <w:cs/>
        </w:rPr>
        <w:t>ลักษณะของผลิตภัณฑ์หรือบริการ และรายละเอียดเงื่อนไขในการให้บริการ</w:t>
      </w:r>
    </w:p>
    <w:p w14:paraId="2DDC8180" w14:textId="77777777" w:rsidR="00B70A07" w:rsidRPr="00B70A07" w:rsidRDefault="00B70A07" w:rsidP="00B70A07">
      <w:pPr>
        <w:pStyle w:val="ListParagraph"/>
        <w:numPr>
          <w:ilvl w:val="0"/>
          <w:numId w:val="1"/>
        </w:numPr>
        <w:ind w:left="360"/>
        <w:rPr>
          <w:rFonts w:cs="TH SarabunPSK"/>
          <w:b/>
          <w:bCs/>
          <w:u w:val="single"/>
        </w:rPr>
      </w:pPr>
      <w:r w:rsidRPr="00B70A07">
        <w:rPr>
          <w:rFonts w:cs="TH SarabunPSK"/>
          <w:sz w:val="28"/>
          <w:szCs w:val="28"/>
          <w:cs/>
        </w:rPr>
        <w:t>กำหนดนโยบายไว้เป็นลายลักษณ์อักษร รับชำระเงินจอง หรือเงินดาวน์ หรือค่ารถยนต์ ด้วยเงินสด ไม่เกิน 50,000 บาท ต่อธุรกรรม</w:t>
      </w:r>
    </w:p>
    <w:p w14:paraId="7F60CD35" w14:textId="77777777" w:rsidR="00B70A07" w:rsidRPr="003C5D6E" w:rsidRDefault="00B70A07" w:rsidP="00B70A07">
      <w:pPr>
        <w:pStyle w:val="ListParagraph"/>
        <w:numPr>
          <w:ilvl w:val="0"/>
          <w:numId w:val="1"/>
        </w:numPr>
        <w:ind w:left="360"/>
        <w:rPr>
          <w:rFonts w:cs="TH SarabunPSK"/>
          <w:sz w:val="28"/>
          <w:szCs w:val="28"/>
        </w:rPr>
      </w:pPr>
      <w:r w:rsidRPr="003C5D6E">
        <w:rPr>
          <w:rFonts w:cs="TH SarabunPSK"/>
          <w:sz w:val="28"/>
          <w:szCs w:val="28"/>
          <w:cs/>
        </w:rPr>
        <w:t xml:space="preserve">สามารถโอนหรือเปลี่ยนมือให้แก่บุคคลอื่นได้ แต่มีเงื่อนไขต้องจดทะเบียนเพื่อโอนกรรมสิทธิ์ ไม่อนุญาตให้โอนลอย และเป็นรถยนต์ที่มูลค่าค่อนข้างสูง ตั้งแต่ </w:t>
      </w:r>
      <w:r w:rsidRPr="003C5D6E">
        <w:rPr>
          <w:rFonts w:cs="TH SarabunPSK"/>
          <w:sz w:val="28"/>
          <w:szCs w:val="28"/>
        </w:rPr>
        <w:t>2,000,000</w:t>
      </w:r>
      <w:r w:rsidRPr="003C5D6E">
        <w:rPr>
          <w:rFonts w:cs="TH SarabunPSK"/>
          <w:sz w:val="28"/>
          <w:szCs w:val="28"/>
          <w:cs/>
        </w:rPr>
        <w:t xml:space="preserve"> บาทขึ้นไป </w:t>
      </w:r>
    </w:p>
    <w:p w14:paraId="3FAD75EC" w14:textId="77777777" w:rsidR="00B70A07" w:rsidRDefault="00B70A07" w:rsidP="00B70A07">
      <w:pPr>
        <w:pStyle w:val="ListParagraph"/>
        <w:numPr>
          <w:ilvl w:val="0"/>
          <w:numId w:val="1"/>
        </w:numPr>
        <w:ind w:left="360"/>
        <w:rPr>
          <w:rFonts w:cs="TH SarabunPSK"/>
          <w:sz w:val="28"/>
          <w:szCs w:val="28"/>
        </w:rPr>
      </w:pPr>
      <w:r w:rsidRPr="00B70A07">
        <w:rPr>
          <w:rFonts w:cs="TH SarabunPSK"/>
          <w:sz w:val="28"/>
          <w:szCs w:val="28"/>
          <w:cs/>
        </w:rPr>
        <w:t>ไม่สามารถใช้หรือนำไปใช้ในต่างประเทศได้ กรณีไม่มีการส่งออกรถยนต์ไปขายในต่างประเทศ</w:t>
      </w:r>
    </w:p>
    <w:p w14:paraId="7C91A863" w14:textId="77777777" w:rsidR="003C5D6E" w:rsidRDefault="003C5D6E" w:rsidP="003C5D6E">
      <w:pPr>
        <w:pStyle w:val="ListParagraph"/>
        <w:ind w:left="360"/>
        <w:rPr>
          <w:rFonts w:cs="TH SarabunPSK"/>
          <w:sz w:val="28"/>
          <w:szCs w:val="28"/>
        </w:rPr>
      </w:pPr>
    </w:p>
    <w:p w14:paraId="7AF5CD01" w14:textId="77777777" w:rsidR="003C5D6E" w:rsidRDefault="003C5D6E" w:rsidP="003C5D6E">
      <w:pPr>
        <w:pStyle w:val="ListParagraph"/>
        <w:ind w:left="0"/>
        <w:rPr>
          <w:rFonts w:cs="TH SarabunPSK"/>
          <w:b/>
          <w:bCs/>
          <w:color w:val="FF0000"/>
          <w:szCs w:val="32"/>
        </w:rPr>
      </w:pPr>
      <w:r w:rsidRPr="003C5D6E">
        <w:rPr>
          <w:rFonts w:cs="TH SarabunPSK" w:hint="cs"/>
          <w:b/>
          <w:bCs/>
          <w:color w:val="FF0000"/>
          <w:szCs w:val="32"/>
          <w:cs/>
        </w:rPr>
        <w:t>ตัวอย่าง</w:t>
      </w:r>
      <w:r>
        <w:rPr>
          <w:rFonts w:cs="TH SarabunPSK" w:hint="cs"/>
          <w:b/>
          <w:bCs/>
          <w:color w:val="FF0000"/>
          <w:szCs w:val="32"/>
          <w:cs/>
        </w:rPr>
        <w:t xml:space="preserve"> </w:t>
      </w:r>
      <w:r>
        <w:rPr>
          <w:rFonts w:cs="TH SarabunPSK"/>
          <w:b/>
          <w:bCs/>
          <w:color w:val="FF0000"/>
          <w:szCs w:val="32"/>
        </w:rPr>
        <w:t>3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2F1A9F" w:rsidRPr="002F1A9F" w14:paraId="208D2442" w14:textId="77777777" w:rsidTr="00091D0E">
        <w:trPr>
          <w:trHeight w:val="20"/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6A70F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C27D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1FA8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5F99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5C2D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2F1A9F" w:rsidRPr="002F1A9F" w14:paraId="23C2E44C" w14:textId="77777777" w:rsidTr="00091D0E">
        <w:trPr>
          <w:trHeight w:val="1531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4BFD5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02FA2" w14:textId="77777777" w:rsidR="002F1A9F" w:rsidRPr="002F1A9F" w:rsidRDefault="002F1A9F" w:rsidP="00091D0E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2F1A9F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05136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86C18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7A8A4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5FD6" w14:textId="77777777" w:rsidR="002F1A9F" w:rsidRPr="002F1A9F" w:rsidRDefault="002F1A9F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80CA" w14:textId="77777777" w:rsidR="002F1A9F" w:rsidRPr="002F1A9F" w:rsidRDefault="002F1A9F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39C60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9F" w:rsidRPr="002F1A9F" w14:paraId="62EB7DFB" w14:textId="77777777" w:rsidTr="00091D0E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CEDC9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AF803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  <w:cs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94335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44A54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45EF2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color w:val="00B050"/>
                <w:kern w:val="24"/>
                <w:sz w:val="28"/>
                <w:szCs w:val="28"/>
                <w:cs/>
              </w:rPr>
              <w:t>ต่ำ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B2900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0E2F4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2F9171" w14:textId="77777777" w:rsidR="002F1A9F" w:rsidRPr="002F1A9F" w:rsidRDefault="002F1A9F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trike/>
                <w:color w:val="5B9BD5" w:themeColor="accent1"/>
                <w:sz w:val="28"/>
                <w:szCs w:val="28"/>
              </w:rPr>
            </w:pPr>
            <w:r w:rsidRPr="002F1A9F">
              <w:rPr>
                <w:rFonts w:ascii="TH SarabunPSK" w:eastAsiaTheme="minorEastAsia" w:hAnsi="TH SarabunPSK" w:cs="TH SarabunPSK"/>
                <w:b/>
                <w:bCs/>
                <w:color w:val="C45911" w:themeColor="accent2" w:themeShade="BF"/>
                <w:kern w:val="24"/>
                <w:sz w:val="28"/>
                <w:szCs w:val="28"/>
                <w:u w:val="single"/>
                <w:cs/>
              </w:rPr>
              <w:t>กลาง</w:t>
            </w:r>
          </w:p>
        </w:tc>
      </w:tr>
    </w:tbl>
    <w:p w14:paraId="7F4CEF87" w14:textId="77777777" w:rsidR="002F1A9F" w:rsidRPr="002F1A9F" w:rsidRDefault="002F1A9F" w:rsidP="002F1A9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F1A9F">
        <w:rPr>
          <w:rFonts w:ascii="TH SarabunPSK" w:hAnsi="TH SarabunPSK" w:cs="TH SarabunPSK"/>
          <w:b/>
          <w:bCs/>
          <w:sz w:val="28"/>
          <w:cs/>
        </w:rPr>
        <w:t>ลักษณะของผลิตภัณฑ์หรือบริการ และรายละเอียดเงื่อนไขในการให้บริการ</w:t>
      </w:r>
    </w:p>
    <w:p w14:paraId="458E1D15" w14:textId="77777777" w:rsidR="002F1A9F" w:rsidRPr="002F1A9F" w:rsidRDefault="002F1A9F" w:rsidP="002F1A9F">
      <w:pPr>
        <w:pStyle w:val="ListParagraph"/>
        <w:numPr>
          <w:ilvl w:val="0"/>
          <w:numId w:val="4"/>
        </w:numPr>
        <w:ind w:left="360"/>
        <w:rPr>
          <w:rFonts w:cs="TH SarabunPSK"/>
          <w:sz w:val="28"/>
          <w:szCs w:val="28"/>
        </w:rPr>
      </w:pPr>
      <w:r w:rsidRPr="002F1A9F">
        <w:rPr>
          <w:rFonts w:cs="TH SarabunPSK"/>
          <w:sz w:val="28"/>
          <w:szCs w:val="28"/>
          <w:cs/>
        </w:rPr>
        <w:t>กำหนดนโยบายไว้เป็นลายลักษณ์อักษร ไม่รับชำระเงินจอง หรือเงินดาวน์ หรือค่ารถยนต์เป็นเงินสด (เช็ค / เงินโอน / บัตรเครดิต / อื่นๆ)</w:t>
      </w:r>
    </w:p>
    <w:p w14:paraId="77FE7F06" w14:textId="77777777" w:rsidR="003C5D6E" w:rsidRDefault="002F1A9F" w:rsidP="002F1A9F">
      <w:pPr>
        <w:pStyle w:val="ListParagraph"/>
        <w:numPr>
          <w:ilvl w:val="0"/>
          <w:numId w:val="4"/>
        </w:numPr>
        <w:ind w:left="360"/>
        <w:rPr>
          <w:rFonts w:cs="TH SarabunPSK"/>
          <w:sz w:val="28"/>
          <w:szCs w:val="28"/>
        </w:rPr>
      </w:pPr>
      <w:r w:rsidRPr="002F1A9F">
        <w:rPr>
          <w:rFonts w:cs="TH SarabunPSK"/>
          <w:sz w:val="28"/>
          <w:szCs w:val="28"/>
          <w:cs/>
        </w:rPr>
        <w:t xml:space="preserve">สามารถโอนหรือเปลี่ยนมือให้แก่บุคคลอื่นได้ แต่มีเงื่อนไขต้องจดทะเบียนเพื่อโอนกรรมสิทธิ์ ไม่อนุญาตให้โอนลอย และเป็นรถยนต์ที่มูลค่าไม่สูง น้อยกว่า </w:t>
      </w:r>
      <w:r w:rsidRPr="002F1A9F">
        <w:rPr>
          <w:rFonts w:cs="TH SarabunPSK"/>
          <w:sz w:val="28"/>
          <w:szCs w:val="28"/>
        </w:rPr>
        <w:t>2,000,000</w:t>
      </w:r>
      <w:r w:rsidRPr="002F1A9F">
        <w:rPr>
          <w:rFonts w:cs="TH SarabunPSK"/>
          <w:sz w:val="28"/>
          <w:szCs w:val="28"/>
          <w:cs/>
        </w:rPr>
        <w:t xml:space="preserve"> บาท</w:t>
      </w:r>
    </w:p>
    <w:p w14:paraId="795C058F" w14:textId="77777777" w:rsidR="002F1A9F" w:rsidRPr="002F1A9F" w:rsidRDefault="002F1A9F" w:rsidP="002F1A9F">
      <w:pPr>
        <w:pStyle w:val="ListParagraph"/>
        <w:numPr>
          <w:ilvl w:val="0"/>
          <w:numId w:val="4"/>
        </w:numPr>
        <w:ind w:left="360"/>
        <w:rPr>
          <w:rFonts w:cs="TH SarabunPSK"/>
          <w:sz w:val="28"/>
          <w:szCs w:val="28"/>
        </w:rPr>
      </w:pPr>
      <w:r w:rsidRPr="00B70A07">
        <w:rPr>
          <w:rFonts w:cs="TH SarabunPSK"/>
          <w:sz w:val="28"/>
          <w:szCs w:val="28"/>
          <w:cs/>
        </w:rPr>
        <w:t>ไม่สามารถใช้หรือนำไปใช้ในต่างประเทศได้ กรณีไม่มีการส่งออกรถยนต์ไปขายในต่างประเทศ</w:t>
      </w:r>
      <w:commentRangeEnd w:id="1"/>
      <w:r>
        <w:rPr>
          <w:rStyle w:val="CommentReference"/>
          <w:rFonts w:asciiTheme="minorHAnsi" w:hAnsiTheme="minorHAnsi" w:cstheme="minorBidi"/>
        </w:rPr>
        <w:commentReference w:id="1"/>
      </w:r>
    </w:p>
    <w:sectPr w:rsidR="002F1A9F" w:rsidRPr="002F1A9F" w:rsidSect="00AB0BDF">
      <w:pgSz w:w="15840" w:h="12240" w:orient="landscape"/>
      <w:pgMar w:top="1008" w:right="994" w:bottom="720" w:left="90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น.ส.ณัฐสุดา สุวรรณ" w:date="2024-03-19T09:48:00Z" w:initials="นส">
    <w:p w14:paraId="787EC8B4" w14:textId="77777777" w:rsidR="002F1A9F" w:rsidRPr="002F1A9F" w:rsidRDefault="002F1A9F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เป็นตัวอย่างวิธีการประเมิน ให้บริษัทฯ ประเมินตามเงื่อนไขจริงของบริษัทฯ และลบตัวอย่างทั้ง </w:t>
      </w:r>
      <w:r>
        <w:t xml:space="preserve">3 </w:t>
      </w:r>
      <w:r>
        <w:rPr>
          <w:rFonts w:hint="cs"/>
          <w:cs/>
        </w:rPr>
        <w:t>กรณีออก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EC8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A44"/>
    <w:multiLevelType w:val="hybridMultilevel"/>
    <w:tmpl w:val="92101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23977"/>
    <w:multiLevelType w:val="hybridMultilevel"/>
    <w:tmpl w:val="94C4C406"/>
    <w:lvl w:ilvl="0" w:tplc="486484CA">
      <w:start w:val="1"/>
      <w:numFmt w:val="decimal"/>
      <w:lvlText w:val="%1."/>
      <w:lvlJc w:val="left"/>
      <w:pPr>
        <w:ind w:left="7020" w:hanging="360"/>
      </w:pPr>
      <w:rPr>
        <w:rFonts w:cs="Angsana New"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" w15:restartNumberingAfterBreak="0">
    <w:nsid w:val="34735DDD"/>
    <w:multiLevelType w:val="hybridMultilevel"/>
    <w:tmpl w:val="493ACB92"/>
    <w:lvl w:ilvl="0" w:tplc="F6D60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41B87"/>
    <w:multiLevelType w:val="hybridMultilevel"/>
    <w:tmpl w:val="0BB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B"/>
    <w:rsid w:val="001E2194"/>
    <w:rsid w:val="002F1A9F"/>
    <w:rsid w:val="0031356B"/>
    <w:rsid w:val="0035761F"/>
    <w:rsid w:val="003C5D6E"/>
    <w:rsid w:val="00AB0BDF"/>
    <w:rsid w:val="00B70A07"/>
    <w:rsid w:val="00E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C3EE"/>
  <w15:chartTrackingRefBased/>
  <w15:docId w15:val="{18CEA7D0-24E4-4E72-B33C-5A476C8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3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56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56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6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6B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31356B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B7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A07"/>
    <w:pPr>
      <w:spacing w:after="0" w:line="240" w:lineRule="auto"/>
      <w:ind w:left="720"/>
      <w:contextualSpacing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3</cp:revision>
  <dcterms:created xsi:type="dcterms:W3CDTF">2024-03-18T07:44:00Z</dcterms:created>
  <dcterms:modified xsi:type="dcterms:W3CDTF">2024-09-25T07:56:00Z</dcterms:modified>
</cp:coreProperties>
</file>